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EB258">
      <w:pPr>
        <w:spacing w:after="0" w:line="240" w:lineRule="auto"/>
        <w:jc w:val="right"/>
      </w:pPr>
      <w:bookmarkStart w:id="0" w:name="_Hlk166145202"/>
      <w:r>
        <w:rPr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50380" cy="932815"/>
            <wp:effectExtent l="0" t="0" r="7620" b="635"/>
            <wp:wrapSquare wrapText="bothSides"/>
            <wp:docPr id="1484498837" name="Obraz 1484498837" descr="C:\Users\Kraina Sanu\Desktop\LOGO\230225_MR_Logotypy_wielofunduszz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498837" name="Obraz 1484498837" descr="C:\Users\Kraina Sanu\Desktop\LOGO\230225_MR_Logotypy_wielofunduszzo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038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</w:t>
      </w:r>
      <w:bookmarkEnd w:id="0"/>
    </w:p>
    <w:p w14:paraId="2825690C">
      <w:pPr>
        <w:spacing w:after="0" w:line="240" w:lineRule="auto"/>
        <w:jc w:val="right"/>
        <w:rPr>
          <w:rFonts w:hint="default" w:ascii="Times New Roman" w:hAnsi="Times New Roman" w:cs="Times New Roman"/>
          <w:b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hint="default" w:ascii="Times New Roman" w:hAnsi="Times New Roman" w:cs="Times New Roman"/>
          <w:b/>
          <w:sz w:val="20"/>
          <w:szCs w:val="20"/>
          <w:lang w:val="pl-PL"/>
        </w:rPr>
        <w:t>Projekt</w:t>
      </w:r>
    </w:p>
    <w:p w14:paraId="57BA9F2E">
      <w:pPr>
        <w:spacing w:before="240"/>
        <w:jc w:val="center"/>
        <w:rPr>
          <w:rFonts w:ascii="Times New Roman" w:hAnsi="Times New Roman" w:eastAsia="Calibri" w:cs="Times New Roman"/>
          <w:b/>
          <w:iCs/>
          <w:kern w:val="2"/>
          <w:sz w:val="28"/>
          <w:szCs w:val="28"/>
        </w:rPr>
      </w:pPr>
      <w:r>
        <w:rPr>
          <w:rFonts w:ascii="Times New Roman" w:hAnsi="Times New Roman" w:eastAsia="Calibri" w:cs="Times New Roman"/>
          <w:b/>
          <w:iCs/>
          <w:kern w:val="2"/>
          <w:sz w:val="28"/>
          <w:szCs w:val="28"/>
        </w:rPr>
        <w:t>Lokalne Kryteria Wyboru Grantobiorców ze środków Programu Regionalnego Fundusze Europejskie dla Podkarpacia na lata 2021 – 2027  (EFS+)</w:t>
      </w:r>
    </w:p>
    <w:p w14:paraId="7281E6B6">
      <w:pPr>
        <w:spacing w:before="240"/>
        <w:jc w:val="center"/>
        <w:rPr>
          <w:rFonts w:ascii="Times New Roman" w:hAnsi="Times New Roman" w:eastAsia="Calibri" w:cs="Times New Roman"/>
          <w:b/>
          <w:iCs/>
          <w:kern w:val="2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Stowarzyszenia „Kraina Sanu” – Lokalna Grupa Działania </w:t>
      </w:r>
    </w:p>
    <w:p w14:paraId="1F974225">
      <w:pPr>
        <w:spacing w:before="240"/>
        <w:rPr>
          <w:rFonts w:ascii="Times New Roman" w:hAnsi="Times New Roman" w:eastAsia="Calibri" w:cs="Times New Roman"/>
          <w:b/>
          <w:iCs/>
          <w:kern w:val="2"/>
          <w:sz w:val="28"/>
          <w:szCs w:val="28"/>
        </w:rPr>
      </w:pPr>
      <w:r>
        <w:rPr>
          <w:rFonts w:ascii="Times New Roman" w:hAnsi="Times New Roman" w:eastAsia="Calibri" w:cs="Times New Roman"/>
          <w:b/>
          <w:iCs/>
          <w:kern w:val="2"/>
          <w:sz w:val="28"/>
          <w:szCs w:val="28"/>
        </w:rPr>
        <w:t xml:space="preserve"> </w:t>
      </w:r>
    </w:p>
    <w:p w14:paraId="0A3245CE">
      <w:pPr>
        <w:spacing w:before="240"/>
        <w:jc w:val="center"/>
        <w:rPr>
          <w:rFonts w:ascii="Times New Roman" w:hAnsi="Times New Roman" w:eastAsia="Calibri" w:cs="Times New Roman"/>
          <w:b/>
          <w:iCs/>
          <w:kern w:val="2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b/>
          <w:iCs/>
          <w:kern w:val="2"/>
          <w:sz w:val="24"/>
          <w:szCs w:val="24"/>
          <w:u w:val="single"/>
        </w:rPr>
        <w:t>Przedsięwzięcie 1.2 Rozwój zdolności uczniów poza edukacją formalną</w:t>
      </w:r>
    </w:p>
    <w:p w14:paraId="004C6FEB">
      <w:pPr>
        <w:spacing w:before="240"/>
        <w:jc w:val="center"/>
        <w:rPr>
          <w:rFonts w:ascii="Times New Roman" w:hAnsi="Times New Roman" w:eastAsia="Calibri" w:cs="Times New Roman"/>
          <w:b/>
          <w:iCs/>
          <w:kern w:val="2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b/>
          <w:iCs/>
          <w:kern w:val="2"/>
          <w:sz w:val="24"/>
          <w:szCs w:val="24"/>
          <w:u w:val="single"/>
        </w:rPr>
        <w:t xml:space="preserve">Przedsięwzięcie 1.3 Wsparcie jakości edukacji </w:t>
      </w:r>
    </w:p>
    <w:p w14:paraId="0A9B9AA8">
      <w:pPr>
        <w:spacing w:before="240"/>
        <w:jc w:val="center"/>
        <w:rPr>
          <w:rFonts w:ascii="Times New Roman" w:hAnsi="Times New Roman" w:eastAsia="Calibri" w:cs="Times New Roman"/>
          <w:b/>
          <w:iCs/>
          <w:kern w:val="2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b/>
          <w:iCs/>
          <w:kern w:val="2"/>
          <w:sz w:val="24"/>
          <w:szCs w:val="24"/>
          <w:u w:val="single"/>
        </w:rPr>
        <w:t xml:space="preserve">Przedsięwzięcie 1.4 Usługi społeczne świadczone w społeczności lokalnej </w:t>
      </w:r>
    </w:p>
    <w:p w14:paraId="45ACAAA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pl-PL" w:bidi="en-US"/>
        </w:rPr>
      </w:pPr>
    </w:p>
    <w:p w14:paraId="0C1BB91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pl-PL" w:bidi="en-US"/>
        </w:rPr>
      </w:pPr>
    </w:p>
    <w:tbl>
      <w:tblPr>
        <w:tblStyle w:val="3"/>
        <w:tblW w:w="4815" w:type="pct"/>
        <w:tblCellSpacing w:w="20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"/>
        <w:gridCol w:w="667"/>
        <w:gridCol w:w="2194"/>
        <w:gridCol w:w="5734"/>
        <w:gridCol w:w="379"/>
      </w:tblGrid>
      <w:tr w14:paraId="2DA38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145" w:hRule="atLeast"/>
          <w:tblCellSpacing w:w="20" w:type="dxa"/>
        </w:trPr>
        <w:tc>
          <w:tcPr>
            <w:tcW w:w="604" w:type="dxa"/>
            <w:shd w:val="clear" w:color="auto" w:fill="BFBFBF"/>
          </w:tcPr>
          <w:p w14:paraId="1E975FF9">
            <w:pPr>
              <w:keepNext/>
              <w:keepLines/>
              <w:spacing w:before="480" w:after="0" w:line="240" w:lineRule="auto"/>
              <w:outlineLvl w:val="0"/>
              <w:rPr>
                <w:rFonts w:ascii="Times New Roman" w:hAnsi="Times New Roman" w:eastAsia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2078" w:type="dxa"/>
            <w:shd w:val="clear" w:color="auto" w:fill="BFBFBF"/>
          </w:tcPr>
          <w:p w14:paraId="3049A00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3"/>
                <w:szCs w:val="23"/>
              </w:rPr>
              <w:t>Lokalne kryterium oceny operacji</w:t>
            </w:r>
          </w:p>
        </w:tc>
        <w:tc>
          <w:tcPr>
            <w:tcW w:w="5840" w:type="dxa"/>
            <w:gridSpan w:val="2"/>
            <w:shd w:val="clear" w:color="auto" w:fill="BFBFBF"/>
            <w:vAlign w:val="center"/>
          </w:tcPr>
          <w:p w14:paraId="138D452D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3"/>
                <w:szCs w:val="23"/>
              </w:rPr>
              <w:t>Opis kryterium lokalnego oceny operacji</w:t>
            </w:r>
          </w:p>
        </w:tc>
      </w:tr>
      <w:tr w14:paraId="2CCEA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cantSplit/>
          <w:trHeight w:val="1029" w:hRule="atLeast"/>
          <w:tblCellSpacing w:w="20" w:type="dxa"/>
        </w:trPr>
        <w:tc>
          <w:tcPr>
            <w:tcW w:w="604" w:type="dxa"/>
            <w:vAlign w:val="center"/>
          </w:tcPr>
          <w:p w14:paraId="74E18A31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1.</w:t>
            </w:r>
          </w:p>
        </w:tc>
        <w:tc>
          <w:tcPr>
            <w:tcW w:w="2078" w:type="dxa"/>
            <w:shd w:val="clear" w:color="auto" w:fill="F2F2F2"/>
            <w:vAlign w:val="center"/>
          </w:tcPr>
          <w:p w14:paraId="0B7F7570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</w:rPr>
              <w:t xml:space="preserve">Operacja wykorzystuje lokalny potencjał </w:t>
            </w:r>
          </w:p>
          <w:p w14:paraId="33C8F213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>Max. liczba punktów – 2 pkt</w:t>
            </w:r>
          </w:p>
        </w:tc>
        <w:tc>
          <w:tcPr>
            <w:tcW w:w="5840" w:type="dxa"/>
            <w:gridSpan w:val="2"/>
          </w:tcPr>
          <w:p w14:paraId="3EFB99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  <w:t xml:space="preserve">Operacja: </w:t>
            </w:r>
          </w:p>
          <w:p w14:paraId="552C1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  <w:p w14:paraId="18629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a) wykorzystuje lokalny potencjał – </w:t>
            </w: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  <w:t>2 pkt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</w:p>
          <w:p w14:paraId="1A8A6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b) nie wykorzystuje lokalnego potencjału – </w:t>
            </w: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  <w:t>0 pkt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</w:p>
          <w:p w14:paraId="49C67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  <w:p w14:paraId="1BA3A423"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highlight w:val="none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Punkty przyznaje się, jeżeli operacja wykorzystuje lokalny potencjał np. zasoby naturalne, (w tym przyrodnicze), lokalizację, dziedzictwo lokalne (w tym kulinarne). Kryterium jest adekwatne do analizy SWOT, ponieważ wspier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a mocne strony obszaru LGD, którymi są głównie zasoby przyrodnicze, ale również kulturowe</w:t>
            </w:r>
            <w:r>
              <w:rPr>
                <w:rFonts w:hint="default" w:ascii="Times New Roman" w:hAnsi="Times New Roman"/>
                <w:sz w:val="24"/>
                <w:szCs w:val="24"/>
                <w:highlight w:val="none"/>
                <w:lang w:val="pl-PL"/>
              </w:rPr>
              <w:t>, przyczyni się do kompleksowej realizacji LSR. Wnioskodawca musi wykazać powiązanie swojego pomysłu i jego realizację.</w:t>
            </w:r>
          </w:p>
          <w:p w14:paraId="16807C1B"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highlight w:val="none"/>
                <w:lang w:val="pl-PL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highlight w:val="none"/>
                <w:lang w:val="pl-PL"/>
              </w:rPr>
              <w:t>Strategia Rozwoju Lokalnego na lata 2023-2027 rozdz. IV, str. 52,53.</w:t>
            </w:r>
            <w:r>
              <w:rPr>
                <w:rFonts w:hint="default" w:ascii="Times New Roman" w:hAnsi="Times New Roman"/>
                <w:sz w:val="24"/>
                <w:szCs w:val="24"/>
                <w:highlight w:val="none"/>
                <w:lang w:val="pl-PL"/>
              </w:rPr>
              <w:t xml:space="preserve"> </w:t>
            </w:r>
          </w:p>
          <w:p w14:paraId="5A25D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  <w:p w14:paraId="18F291C3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i/>
                <w:sz w:val="24"/>
                <w:szCs w:val="24"/>
                <w:highlight w:val="none"/>
                <w:lang w:val="pl-P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highlight w:val="none"/>
              </w:rPr>
              <w:t>Kryterium weryfikowane w oparciu o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highlight w:val="none"/>
              </w:rPr>
              <w:t xml:space="preserve"> informacje zawarte we wniosku o powierzenie grantu</w:t>
            </w:r>
            <w:r>
              <w:rPr>
                <w:rFonts w:hint="default" w:ascii="Times New Roman" w:hAnsi="Times New Roman" w:eastAsia="Calibri" w:cs="Times New Roman"/>
                <w:i/>
                <w:sz w:val="24"/>
                <w:szCs w:val="24"/>
                <w:highlight w:val="none"/>
                <w:lang w:val="pl-PL"/>
              </w:rPr>
              <w:t xml:space="preserve"> (opis realizacji operacji).</w:t>
            </w:r>
          </w:p>
        </w:tc>
      </w:tr>
      <w:tr w14:paraId="5BAB5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cantSplit/>
          <w:trHeight w:val="1022" w:hRule="atLeast"/>
          <w:tblCellSpacing w:w="20" w:type="dxa"/>
        </w:trPr>
        <w:tc>
          <w:tcPr>
            <w:tcW w:w="604" w:type="dxa"/>
            <w:vAlign w:val="center"/>
          </w:tcPr>
          <w:p w14:paraId="0FA28A28">
            <w:pPr>
              <w:rPr>
                <w:rFonts w:ascii="Times New Roman" w:hAnsi="Times New Roman" w:eastAsia="Calibri" w:cs="Times New Roman"/>
                <w:color w:val="ED0000"/>
              </w:rPr>
            </w:pPr>
            <w:r>
              <w:rPr>
                <w:rFonts w:ascii="Times New Roman" w:hAnsi="Times New Roman" w:eastAsia="Calibri" w:cs="Times New Roman"/>
              </w:rPr>
              <w:t>2.</w:t>
            </w:r>
          </w:p>
        </w:tc>
        <w:tc>
          <w:tcPr>
            <w:tcW w:w="2078" w:type="dxa"/>
            <w:shd w:val="clear" w:color="auto" w:fill="F2F2F2"/>
            <w:vAlign w:val="center"/>
          </w:tcPr>
          <w:p w14:paraId="6D810FA6"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</w:rPr>
              <w:t xml:space="preserve">Siedziba 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pl-PL"/>
              </w:rPr>
              <w:t xml:space="preserve">Grantobiorcy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</w:rPr>
              <w:t xml:space="preserve">na obszarze LGD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</w:rPr>
              <w:br w:type="textWrapping"/>
            </w:r>
          </w:p>
          <w:p w14:paraId="7661E443">
            <w:pPr>
              <w:jc w:val="center"/>
              <w:rPr>
                <w:rFonts w:ascii="Times New Roman" w:hAnsi="Times New Roman" w:eastAsia="Calibri" w:cs="Times New Roman"/>
                <w:b/>
                <w:color w:val="ED0000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>Max. liczba punktów – 2 pkt</w:t>
            </w:r>
          </w:p>
        </w:tc>
        <w:tc>
          <w:tcPr>
            <w:tcW w:w="5840" w:type="dxa"/>
            <w:gridSpan w:val="2"/>
          </w:tcPr>
          <w:p w14:paraId="17744AA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</w:rPr>
              <w:t xml:space="preserve">Siedziba 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pl-PL"/>
              </w:rPr>
              <w:t xml:space="preserve">Grantobiorcy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</w:rPr>
              <w:t xml:space="preserve">na obszarze LGD: </w:t>
            </w:r>
          </w:p>
          <w:p w14:paraId="12DA48F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a) </w:t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>od minimum roku znajduje się na obszarze LGD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 –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</w:rPr>
              <w:t>2 pkt</w:t>
            </w:r>
          </w:p>
          <w:p w14:paraId="1D41C61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b) </w:t>
            </w:r>
            <w:r>
              <w:rPr>
                <w:rFonts w:ascii="Calibri" w:hAnsi="Calibri" w:eastAsia="Calibri" w:cs="Calibri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poza obszarem LGD lub na obszarze krócej niż rok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</w:rPr>
              <w:t xml:space="preserve">0 pkt </w:t>
            </w:r>
          </w:p>
          <w:p w14:paraId="7F593A0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</w:p>
          <w:p w14:paraId="1D14A21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highlight w:val="none"/>
              </w:rPr>
              <w:t xml:space="preserve">Preferowane będą projekty realizowane przez </w:t>
            </w:r>
            <w:r>
              <w:rPr>
                <w:rFonts w:hint="default" w:ascii="Times New Roman" w:hAnsi="Times New Roman" w:eastAsia="Calibri" w:cs="Times New Roman"/>
                <w:bCs/>
                <w:strike w:val="0"/>
                <w:dstrike w:val="0"/>
                <w:color w:val="000000" w:themeColor="text1"/>
                <w:sz w:val="24"/>
                <w:szCs w:val="24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 xml:space="preserve"> Grantobiorców</w:t>
            </w:r>
            <w:r>
              <w:rPr>
                <w:rFonts w:ascii="Times New Roman" w:hAnsi="Times New Roman" w:eastAsia="Calibri" w:cs="Times New Roman"/>
                <w:bCs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highlight w:val="none"/>
              </w:rPr>
              <w:t xml:space="preserve"> których siedziba od minimum roku znajduje się na obszarze LGD.</w:t>
            </w:r>
          </w:p>
          <w:p w14:paraId="3B9B545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 </w:t>
            </w:r>
          </w:p>
          <w:p w14:paraId="377341AD">
            <w:pPr>
              <w:tabs>
                <w:tab w:val="left" w:pos="1133"/>
              </w:tabs>
              <w:spacing w:after="0" w:line="240" w:lineRule="auto"/>
              <w:jc w:val="both"/>
              <w:rPr>
                <w:rFonts w:hint="default" w:ascii="Times New Roman" w:hAnsi="Times New Roman"/>
                <w:i/>
                <w:sz w:val="24"/>
                <w:szCs w:val="24"/>
                <w:highlight w:val="none"/>
                <w:lang w:val="pl-P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highlight w:val="none"/>
              </w:rPr>
              <w:t>Kryterium weryfikowane w oparciu o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highlight w:val="none"/>
              </w:rPr>
              <w:t xml:space="preserve"> informacje zawarte we wniosku o powierzenie grantu i/lub w dołączonych załącznikach</w:t>
            </w:r>
            <w:r>
              <w:rPr>
                <w:rFonts w:hint="default" w:ascii="Times New Roman" w:hAnsi="Times New Roman" w:eastAsia="Calibri" w:cs="Times New Roman"/>
                <w:i/>
                <w:sz w:val="24"/>
                <w:szCs w:val="24"/>
                <w:highlight w:val="none"/>
                <w:lang w:val="pl-PL"/>
              </w:rPr>
              <w:t xml:space="preserve"> (wydruk KRS).</w:t>
            </w:r>
          </w:p>
        </w:tc>
      </w:tr>
      <w:tr w14:paraId="7E07D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cantSplit/>
          <w:trHeight w:val="3058" w:hRule="atLeast"/>
          <w:tblCellSpacing w:w="20" w:type="dxa"/>
        </w:trPr>
        <w:tc>
          <w:tcPr>
            <w:tcW w:w="604" w:type="dxa"/>
            <w:vAlign w:val="center"/>
          </w:tcPr>
          <w:p w14:paraId="588C6F13">
            <w:pPr>
              <w:rPr>
                <w:rFonts w:ascii="Times New Roman" w:hAnsi="Times New Roman" w:eastAsia="Calibri" w:cs="Times New Roman"/>
                <w:color w:val="DF0000"/>
              </w:rPr>
            </w:pPr>
            <w:r>
              <w:rPr>
                <w:rFonts w:ascii="Times New Roman" w:hAnsi="Times New Roman" w:eastAsia="Calibri" w:cs="Times New Roman"/>
              </w:rPr>
              <w:t>3.</w:t>
            </w:r>
          </w:p>
        </w:tc>
        <w:tc>
          <w:tcPr>
            <w:tcW w:w="2078" w:type="dxa"/>
            <w:shd w:val="clear" w:color="auto" w:fill="F2F2F2"/>
            <w:vAlign w:val="center"/>
          </w:tcPr>
          <w:p w14:paraId="337523C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</w:rPr>
              <w:t xml:space="preserve">Operacja dedykowana dla mieszkańców obszarów wiejskich, wykluczonych społecznie ze względu na przynależność do grup zdiagnozowanych jako grupy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</w:rPr>
              <w:t xml:space="preserve">w niekorzystnej sytuacji wskazanych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</w:rPr>
              <w:t>w LSR</w:t>
            </w:r>
          </w:p>
          <w:p w14:paraId="64B042E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</w:rPr>
            </w:pPr>
          </w:p>
          <w:p w14:paraId="4B9003E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>Max. liczba punktów – 2 pkt</w:t>
            </w:r>
          </w:p>
          <w:p w14:paraId="5943638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highlight w:val="none"/>
                <w:u w:val="single"/>
                <w:lang w:val="pl-PL"/>
              </w:rPr>
              <w:t>Kryterium rozstrzygające</w:t>
            </w:r>
          </w:p>
        </w:tc>
        <w:tc>
          <w:tcPr>
            <w:tcW w:w="5840" w:type="dxa"/>
            <w:gridSpan w:val="2"/>
          </w:tcPr>
          <w:p w14:paraId="1EB09B1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</w:rPr>
              <w:t xml:space="preserve">Operacja dedykowana osobom w niekorzystnej sytuacji: </w:t>
            </w:r>
          </w:p>
          <w:p w14:paraId="7839935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</w:p>
          <w:p w14:paraId="53D7863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a) tak –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</w:rPr>
              <w:t>2 pkt</w:t>
            </w:r>
          </w:p>
          <w:p w14:paraId="0E43E82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b) nie –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</w:rPr>
              <w:t>0 pkt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 </w:t>
            </w:r>
          </w:p>
          <w:p w14:paraId="5E2F198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</w:p>
          <w:p w14:paraId="2E91F2F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Kryterium powiązane z diagnozą i analizą SWOT. Rekomenduje się operacje, w których wnioskodawca opisze w jaki sposób wpłynie ona na zaspokojenie potrzeb osób z grup znajdujących się w niekorzystnej sytuacji wskazanych w LSR, tj. osób z niepełnosprawnościami, kobiet, rolników z małych gospodarstw, osób bezrobotnych/szukających pracy/ mieszkańców obszarów po PGR. </w:t>
            </w:r>
          </w:p>
          <w:p w14:paraId="7E4653A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none"/>
              </w:rPr>
            </w:pPr>
          </w:p>
          <w:p w14:paraId="6FA091D7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color w:val="DF0000"/>
                <w:sz w:val="24"/>
                <w:szCs w:val="24"/>
                <w:highlight w:val="none"/>
                <w:lang w:val="pl-P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highlight w:val="none"/>
              </w:rPr>
              <w:t>Kryterium weryfikowane w oparciu o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highlight w:val="none"/>
              </w:rPr>
              <w:t xml:space="preserve"> informacje zawarte we wniosku o powierzenie grantu i/lub w dołączonych załącznikach</w:t>
            </w:r>
            <w:r>
              <w:rPr>
                <w:rFonts w:hint="default" w:ascii="Times New Roman" w:hAnsi="Times New Roman" w:eastAsia="Calibri" w:cs="Times New Roman"/>
                <w:i/>
                <w:sz w:val="24"/>
                <w:szCs w:val="24"/>
                <w:highlight w:val="none"/>
                <w:lang w:val="pl-PL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i/>
                <w:iCs w:val="0"/>
                <w:sz w:val="24"/>
                <w:szCs w:val="24"/>
                <w:highlight w:val="none"/>
                <w:lang w:val="pl-PL"/>
              </w:rPr>
              <w:t>(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 w:val="0"/>
                <w:color w:val="000000"/>
                <w:sz w:val="24"/>
                <w:szCs w:val="24"/>
                <w:highlight w:val="none"/>
                <w:lang w:val="pl-PL"/>
              </w:rPr>
              <w:t>orzeczenie o niepełnosprawności, zaświadczenie z Urzędu Pracy o   statusie bezrobotnego, zaświadczenie z Urzędu Gminy o zamieszkaniu na obszarze po PGR, dowód osobisty wskazujący na płeć wnioskodawcy).</w:t>
            </w:r>
          </w:p>
        </w:tc>
      </w:tr>
      <w:tr w14:paraId="1C5DC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cantSplit/>
          <w:trHeight w:val="1363" w:hRule="atLeast"/>
          <w:tblCellSpacing w:w="20" w:type="dxa"/>
        </w:trPr>
        <w:tc>
          <w:tcPr>
            <w:tcW w:w="604" w:type="dxa"/>
            <w:vAlign w:val="center"/>
          </w:tcPr>
          <w:p w14:paraId="0E84EA01">
            <w:pPr>
              <w:rPr>
                <w:rFonts w:ascii="Times New Roman" w:hAnsi="Times New Roman" w:eastAsia="Calibri" w:cs="Times New Roman"/>
                <w:color w:val="DF0000"/>
              </w:rPr>
            </w:pPr>
            <w:r>
              <w:rPr>
                <w:rFonts w:ascii="Times New Roman" w:hAnsi="Times New Roman" w:eastAsia="Calibri" w:cs="Times New Roman"/>
              </w:rPr>
              <w:t>4.</w:t>
            </w:r>
          </w:p>
        </w:tc>
        <w:tc>
          <w:tcPr>
            <w:tcW w:w="2078" w:type="dxa"/>
            <w:shd w:val="clear" w:color="auto" w:fill="F2F2F2"/>
            <w:vAlign w:val="center"/>
          </w:tcPr>
          <w:p w14:paraId="73B89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Różnorodność form wsparcia</w:t>
            </w:r>
          </w:p>
          <w:p w14:paraId="126EAA78">
            <w:pPr>
              <w:spacing w:after="0" w:line="240" w:lineRule="auto"/>
              <w:jc w:val="center"/>
              <w:rPr>
                <w:rFonts w:ascii="Times New Roman" w:hAnsi="Times New Roman"/>
                <w:color w:val="DF0000"/>
                <w:sz w:val="24"/>
                <w:szCs w:val="24"/>
              </w:rPr>
            </w:pPr>
          </w:p>
          <w:p w14:paraId="0C90580F">
            <w:pPr>
              <w:jc w:val="center"/>
              <w:rPr>
                <w:rFonts w:ascii="Times New Roman" w:hAnsi="Times New Roman" w:eastAsia="Calibri" w:cs="Times New Roman"/>
                <w:b/>
                <w:color w:val="DF0000"/>
              </w:rPr>
            </w:pPr>
            <w:r>
              <w:rPr>
                <w:rFonts w:ascii="Times New Roman" w:hAnsi="Times New Roman"/>
                <w:color w:val="D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Max. liczba punktów – 2 pkt</w:t>
            </w:r>
          </w:p>
        </w:tc>
        <w:tc>
          <w:tcPr>
            <w:tcW w:w="5840" w:type="dxa"/>
            <w:gridSpan w:val="2"/>
          </w:tcPr>
          <w:p w14:paraId="7600B44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Projekt zakłada:</w:t>
            </w:r>
          </w:p>
          <w:p w14:paraId="14112EF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  <w:p w14:paraId="7243502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a) realizację 3 form wsparcia –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 pkt</w:t>
            </w:r>
          </w:p>
          <w:p w14:paraId="1B660E1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b) realizację 2 form wsparcia –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 pkt</w:t>
            </w:r>
          </w:p>
          <w:p w14:paraId="3537EF1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c) realizację 1 formy wsparcia –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 pkt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</w:p>
          <w:p w14:paraId="3DDAF6B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1437329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Preferuje się projekty, obejmujące jednocześnie kilka różnorodnych form wsparcia w ramach danego projektu:</w:t>
            </w:r>
          </w:p>
          <w:p w14:paraId="249C33C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wsparcie różnych form rozwijających kompetencje, uzdolnienia, umiejętności, wiedzę oraz zainteresowania uczniów (np. poprzez zajęcia realizowane w obszarze bezpośrednio związanym z tematem rozwijanych kompetencji umiejętności, uzdolnień i wiedzy; korepetycje, szkolenia, warsztaty, wyjazdy studyjne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i szkoleniowe, półkolonie tematyczne), </w:t>
            </w:r>
          </w:p>
          <w:p w14:paraId="177B353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wsparcie działań służących pomocy uczniom w radzeniu sobie w trudnych sytuacjach, rozwiązywaniu problemów (np. związanych z pandemią COVID-19, stresem, wymaganiami i ob</w:t>
            </w:r>
            <w:bookmarkStart w:id="1" w:name="_GoBack"/>
            <w:bookmarkEnd w:id="1"/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owiązkami, presją społeczną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i medialną),   </w:t>
            </w:r>
          </w:p>
          <w:p w14:paraId="6CB5ED6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zajęcia dydaktyczno-wychowawcze skierowane do uczniów z trudnościami edukacyjnymi,</w:t>
            </w:r>
          </w:p>
          <w:p w14:paraId="3C5629A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zajęcia zwiększające wiedzę uczniów na temat zmian klimatycznych oraz zielonych umiejętności i kompetencji.</w:t>
            </w:r>
          </w:p>
          <w:p w14:paraId="32A1FB1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14:paraId="0A0C7E8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Kryterium weryfikowane w oparciu o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 informacje zawarte we wniosku o powierzenie grantu </w:t>
            </w:r>
          </w:p>
        </w:tc>
      </w:tr>
      <w:tr w14:paraId="023FB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cantSplit/>
          <w:trHeight w:val="1363" w:hRule="atLeast"/>
          <w:tblCellSpacing w:w="20" w:type="dxa"/>
        </w:trPr>
        <w:tc>
          <w:tcPr>
            <w:tcW w:w="604" w:type="dxa"/>
            <w:vAlign w:val="center"/>
          </w:tcPr>
          <w:p w14:paraId="54322341">
            <w:pPr>
              <w:rPr>
                <w:rFonts w:ascii="Times New Roman" w:hAnsi="Times New Roman" w:eastAsia="Calibri" w:cs="Times New Roman"/>
                <w:color w:val="DF0000"/>
              </w:rPr>
            </w:pPr>
            <w:r>
              <w:rPr>
                <w:rFonts w:ascii="Times New Roman" w:hAnsi="Times New Roman" w:eastAsia="Calibri" w:cs="Times New Roman"/>
              </w:rPr>
              <w:t>5.</w:t>
            </w:r>
          </w:p>
        </w:tc>
        <w:tc>
          <w:tcPr>
            <w:tcW w:w="2078" w:type="dxa"/>
            <w:shd w:val="clear" w:color="auto" w:fill="F2F2F2"/>
            <w:vAlign w:val="center"/>
          </w:tcPr>
          <w:p w14:paraId="13BC5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Operacja wpływa na rozwój kompetencji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>i aktywności mieszkańców</w:t>
            </w:r>
          </w:p>
          <w:p w14:paraId="087BAF1E">
            <w:pPr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Max. liczba punktów – 2 pkt</w:t>
            </w:r>
          </w:p>
          <w:p w14:paraId="25D51577">
            <w:pPr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highlight w:val="none"/>
                <w:u w:val="single"/>
                <w:lang w:val="pl-PL"/>
              </w:rPr>
              <w:t>Kryterium rozstrzygające</w:t>
            </w:r>
          </w:p>
        </w:tc>
        <w:tc>
          <w:tcPr>
            <w:tcW w:w="5840" w:type="dxa"/>
            <w:gridSpan w:val="2"/>
          </w:tcPr>
          <w:p w14:paraId="1CD4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Preferowane są operacje, które dążą do podniesienia kwalifikacji, kompetencji i umiejętności mieszkańców oraz wzrostu ich aktywności: </w:t>
            </w:r>
          </w:p>
          <w:p w14:paraId="1025AD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  <w:p w14:paraId="116AC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a) tak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>2 pkt</w:t>
            </w:r>
          </w:p>
          <w:p w14:paraId="4821C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b) nie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>0 pkt</w:t>
            </w:r>
          </w:p>
          <w:p w14:paraId="4FE98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pPr>
          </w:p>
          <w:p w14:paraId="7652642B">
            <w:pPr>
              <w:numPr>
                <w:ilvl w:val="0"/>
                <w:numId w:val="0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b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/>
                <w:sz w:val="24"/>
                <w:szCs w:val="24"/>
                <w:highlight w:val="none"/>
                <w:lang w:val="pl-PL"/>
              </w:rPr>
              <w:t>Wnioskodawca aby otrzymać punkty będzie musiał opisać jakie zostaną zrealizowane zadania dotyczące aktywności zaangażowania społeczności w realizację projektu oraz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/>
                <w:sz w:val="24"/>
                <w:szCs w:val="24"/>
                <w:highlight w:val="none"/>
                <w:lang w:val="pl-PL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/>
                <w:sz w:val="24"/>
                <w:szCs w:val="24"/>
                <w:highlight w:val="none"/>
                <w:lang w:val="pl-PL"/>
              </w:rPr>
              <w:t>w jaki sposób operacja przyczyni się do rozwoju kompetencji.</w:t>
            </w:r>
          </w:p>
          <w:p w14:paraId="68A7A3B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highlight w:val="none"/>
              </w:rPr>
              <w:t>Kryterium weryfikowane w oparciu o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highlight w:val="none"/>
              </w:rPr>
              <w:t xml:space="preserve"> informacje zawarte we wniosku o powierzenie grantu </w:t>
            </w:r>
          </w:p>
        </w:tc>
      </w:tr>
      <w:tr w14:paraId="1CC5D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cantSplit/>
          <w:trHeight w:val="1363" w:hRule="atLeast"/>
          <w:tblCellSpacing w:w="20" w:type="dxa"/>
        </w:trPr>
        <w:tc>
          <w:tcPr>
            <w:tcW w:w="604" w:type="dxa"/>
            <w:vAlign w:val="center"/>
          </w:tcPr>
          <w:p w14:paraId="624A500D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6.</w:t>
            </w:r>
          </w:p>
        </w:tc>
        <w:tc>
          <w:tcPr>
            <w:tcW w:w="2078" w:type="dxa"/>
            <w:shd w:val="clear" w:color="auto" w:fill="F2F2F2"/>
            <w:vAlign w:val="center"/>
          </w:tcPr>
          <w:p w14:paraId="57EDE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Doradztwo indywidualne świadczone przez Biuro LGD</w:t>
            </w:r>
          </w:p>
          <w:p w14:paraId="5D9A8D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2C06D7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Max. liczba punktów – 2 pkt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40" w:type="dxa"/>
            <w:gridSpan w:val="2"/>
          </w:tcPr>
          <w:p w14:paraId="6D0F12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Wnioskodawca korzystał z bezpłatnego doradztwa Biura LGD:</w:t>
            </w:r>
          </w:p>
          <w:p w14:paraId="763B8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C91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a) tak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 pkt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20D6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b) nie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 pkt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8392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2D95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Korzystanie z doradztwa indywidulanego pozwala na zapoznanie wnioskodawcy z procedurami dotyczącymi pozyskania środków finansowych z FEP oraz prawidłowym sporządzeniem dokumentacji aplikacyjnej niezbędnej do pozyskania wsparcia finansowego.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Kryterium zostanie uznane za spełnione jeżeli wnioskodawca odbył skuteczne doradztwo indywidualne świadczone przez Biuro LGD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w ramach naboru tematycznego, w którym planuje złożyć wniosek w ramach LSR na lata 2023 – 2027.</w:t>
            </w:r>
          </w:p>
          <w:p w14:paraId="6732E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C2DDDB"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Kryterium weryfikowane w oparciu 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rejestr doradztwa.</w:t>
            </w:r>
          </w:p>
        </w:tc>
      </w:tr>
      <w:tr w14:paraId="4C0E6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320" w:hRule="atLeast"/>
          <w:tblCellSpacing w:w="20" w:type="dxa"/>
        </w:trPr>
        <w:tc>
          <w:tcPr>
            <w:tcW w:w="8602" w:type="dxa"/>
            <w:gridSpan w:val="4"/>
            <w:shd w:val="clear" w:color="auto" w:fill="F2F2F2"/>
          </w:tcPr>
          <w:p w14:paraId="5E71B22A">
            <w:pPr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Maksymalna liczba punktów – 12 pkt</w:t>
            </w:r>
          </w:p>
          <w:p w14:paraId="66FE7D01">
            <w:pPr>
              <w:rPr>
                <w:rFonts w:ascii="Times New Roman" w:hAnsi="Times New Roman" w:eastAsia="Calibri" w:cs="Times New Roman"/>
                <w:color w:val="DF0000"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Minimalna liczba punktów (30% z max liczby punktów) – 3 pkt</w:t>
            </w:r>
          </w:p>
        </w:tc>
      </w:tr>
    </w:tbl>
    <w:p w14:paraId="609059E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pl-PL" w:bidi="en-US"/>
        </w:rPr>
      </w:pPr>
    </w:p>
    <w:p w14:paraId="7F9C9C7F"/>
    <w:sectPr>
      <w:pgSz w:w="11906" w:h="16838"/>
      <w:pgMar w:top="426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98"/>
    <w:rsid w:val="001543FE"/>
    <w:rsid w:val="00174581"/>
    <w:rsid w:val="00295E7A"/>
    <w:rsid w:val="00392469"/>
    <w:rsid w:val="003E322F"/>
    <w:rsid w:val="0040455A"/>
    <w:rsid w:val="00480289"/>
    <w:rsid w:val="006D46FE"/>
    <w:rsid w:val="007746D3"/>
    <w:rsid w:val="007C649F"/>
    <w:rsid w:val="008D57E7"/>
    <w:rsid w:val="00AE68B3"/>
    <w:rsid w:val="00B91FEA"/>
    <w:rsid w:val="00C051DA"/>
    <w:rsid w:val="00CE69DC"/>
    <w:rsid w:val="00E00E98"/>
    <w:rsid w:val="00E33E1E"/>
    <w:rsid w:val="00E801C6"/>
    <w:rsid w:val="063F34BE"/>
    <w:rsid w:val="0EEE2A27"/>
    <w:rsid w:val="0FDF5C8A"/>
    <w:rsid w:val="170D0AA8"/>
    <w:rsid w:val="17BE1A97"/>
    <w:rsid w:val="19DF3A01"/>
    <w:rsid w:val="1E1530C0"/>
    <w:rsid w:val="1E594203"/>
    <w:rsid w:val="25614063"/>
    <w:rsid w:val="492B6918"/>
    <w:rsid w:val="5A1B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kern w:val="0"/>
      <w:sz w:val="22"/>
      <w:szCs w:val="22"/>
      <w:lang w:val="pl-PL" w:eastAsia="en-US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63E8F-7B31-46C9-A2FD-1C2B2445CB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685</Words>
  <Characters>4110</Characters>
  <Lines>34</Lines>
  <Paragraphs>9</Paragraphs>
  <TotalTime>1</TotalTime>
  <ScaleCrop>false</ScaleCrop>
  <LinksUpToDate>false</LinksUpToDate>
  <CharactersWithSpaces>4786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2024-05-13T10:14:00Z</dcterms:created>
  <dc:creator>LGD Kraina Sanu</dc:creator>
  <cp:lastModifiedBy>krain</cp:lastModifiedBy>
  <cp:lastPrinted>2024-05-28T07:29:00Z</cp:lastPrinted>
  <dcterms:modified xsi:type="dcterms:W3CDTF">2024-08-07T10:53:25Z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1045-12.2.0.17153</vt:lpwstr>
  </property>
  <property fmtid="{D5CDD505-2E9C-101B-9397-08002B2CF9AE}" pid="3" name="ICV">
    <vt:lpwstr>AAEF2210F20848169916B0958C8A3C13_12</vt:lpwstr>
  </property>
</Properties>
</file>